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1E3CC" w14:textId="405AFDC1" w:rsidR="00836ECA" w:rsidRPr="00006F9A" w:rsidRDefault="00836ECA" w:rsidP="00836ECA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993607">
        <w:rPr>
          <w:rFonts w:cs="Arial"/>
          <w:szCs w:val="24"/>
        </w:rPr>
        <w:t>09444</w:t>
      </w:r>
    </w:p>
    <w:p w14:paraId="0E8CC654" w14:textId="77777777" w:rsidR="00836ECA" w:rsidRPr="00006F9A" w:rsidRDefault="00836ECA" w:rsidP="00836ECA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bookmarkEnd w:id="1"/>
    <w:bookmarkEnd w:id="2"/>
    <w:p w14:paraId="2DC94B66" w14:textId="79AE2148" w:rsidR="003548F1" w:rsidRPr="00206CFB" w:rsidRDefault="003548F1" w:rsidP="003548F1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5F57E9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F57E9">
        <w:rPr>
          <w:rFonts w:ascii="Arial" w:hAnsi="Arial" w:cs="Arial"/>
          <w:b/>
          <w:sz w:val="22"/>
          <w:szCs w:val="22"/>
          <w:lang w:val="en-US"/>
        </w:rPr>
        <w:tab/>
      </w:r>
      <w:r w:rsidR="00A26054">
        <w:rPr>
          <w:rFonts w:ascii="Arial" w:hAnsi="Arial" w:cs="Arial"/>
          <w:sz w:val="22"/>
          <w:szCs w:val="22"/>
          <w:lang w:val="en-US"/>
        </w:rPr>
        <w:t>9</w:t>
      </w:r>
      <w:r w:rsidRPr="005F57E9">
        <w:rPr>
          <w:rFonts w:ascii="Arial" w:hAnsi="Arial" w:cs="Arial"/>
          <w:sz w:val="22"/>
          <w:szCs w:val="22"/>
          <w:lang w:val="en-US"/>
        </w:rPr>
        <w:t>.</w:t>
      </w:r>
      <w:r w:rsidR="00A26054">
        <w:rPr>
          <w:rFonts w:ascii="Arial" w:hAnsi="Arial" w:cs="Arial"/>
          <w:sz w:val="22"/>
          <w:szCs w:val="22"/>
          <w:lang w:val="en-US"/>
        </w:rPr>
        <w:t>19</w:t>
      </w:r>
      <w:r w:rsidRPr="005F57E9">
        <w:rPr>
          <w:rFonts w:ascii="Arial" w:hAnsi="Arial" w:cs="Arial"/>
          <w:sz w:val="22"/>
          <w:szCs w:val="22"/>
          <w:lang w:val="en-US"/>
        </w:rPr>
        <w:t>.3.2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24CB8ED1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eDRX </w:t>
      </w:r>
      <w:r w:rsidR="00836ECA">
        <w:rPr>
          <w:rFonts w:ascii="Arial" w:hAnsi="Arial" w:cs="Arial"/>
          <w:sz w:val="22"/>
          <w:szCs w:val="22"/>
        </w:rPr>
        <w:t>remaining issues</w:t>
      </w:r>
      <w:r>
        <w:rPr>
          <w:rFonts w:ascii="Arial" w:hAnsi="Arial" w:cs="Arial"/>
          <w:sz w:val="22"/>
          <w:szCs w:val="22"/>
        </w:rPr>
        <w:t xml:space="preserve"> for RedCap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0D84963F" w14:textId="3E57BAD8" w:rsidR="003548F1" w:rsidRPr="006677E8" w:rsidRDefault="00836ECA" w:rsidP="003548F1">
      <w:pPr>
        <w:spacing w:before="240" w:after="0"/>
        <w:jc w:val="both"/>
        <w:rPr>
          <w:lang w:val="en-US"/>
        </w:rPr>
      </w:pPr>
      <w:r>
        <w:rPr>
          <w:sz w:val="22"/>
          <w:szCs w:val="22"/>
          <w:lang w:val="en-US"/>
        </w:rPr>
        <w:t xml:space="preserve">In last RAN4 meeing, </w:t>
      </w:r>
      <w:r w:rsidR="003548F1">
        <w:rPr>
          <w:sz w:val="22"/>
          <w:szCs w:val="22"/>
          <w:lang w:val="en-US"/>
        </w:rPr>
        <w:t xml:space="preserve">eDRX requirements for RedCap UE was discussed and agreements were reached </w:t>
      </w:r>
      <w:r w:rsidR="00E673FF">
        <w:rPr>
          <w:sz w:val="22"/>
          <w:szCs w:val="22"/>
          <w:lang w:val="en-US"/>
        </w:rPr>
        <w:t>for most open</w:t>
      </w:r>
      <w:r w:rsidR="002558C4">
        <w:rPr>
          <w:sz w:val="22"/>
          <w:szCs w:val="22"/>
          <w:lang w:val="en-US" w:eastAsia="zh-CN"/>
        </w:rPr>
        <w:t xml:space="preserve"> </w:t>
      </w:r>
      <w:r w:rsidR="003548F1">
        <w:rPr>
          <w:sz w:val="22"/>
          <w:szCs w:val="22"/>
          <w:lang w:val="en-US"/>
        </w:rPr>
        <w:t>i</w:t>
      </w:r>
      <w:r w:rsidR="002558C4">
        <w:rPr>
          <w:sz w:val="22"/>
          <w:szCs w:val="22"/>
          <w:lang w:val="en-US"/>
        </w:rPr>
        <w:t>ssues</w:t>
      </w:r>
      <w:r w:rsidR="003548F1">
        <w:rPr>
          <w:sz w:val="22"/>
          <w:szCs w:val="22"/>
          <w:lang w:val="en-US"/>
        </w:rPr>
        <w:t xml:space="preserve"> [1]. </w:t>
      </w:r>
      <w:r w:rsidR="003548F1" w:rsidRPr="006677E8">
        <w:rPr>
          <w:lang w:val="en-US"/>
        </w:rPr>
        <w:t>In this contribution, we continue the discussion</w:t>
      </w:r>
      <w:r w:rsidR="002558C4">
        <w:rPr>
          <w:lang w:val="en-US"/>
        </w:rPr>
        <w:t xml:space="preserve"> on the remaining issues</w:t>
      </w:r>
      <w:r w:rsidR="003548F1" w:rsidRPr="006677E8">
        <w:rPr>
          <w:lang w:val="en-US"/>
        </w:rPr>
        <w:t xml:space="preserve">. </w:t>
      </w:r>
    </w:p>
    <w:p w14:paraId="3284A237" w14:textId="77777777" w:rsidR="003548F1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 w:rsidRPr="00472BA9">
        <w:t>eDRX design</w:t>
      </w:r>
      <w:r>
        <w:t xml:space="preserve"> in Idle mode</w:t>
      </w:r>
    </w:p>
    <w:p w14:paraId="0904A3BD" w14:textId="77777777" w:rsidR="003548F1" w:rsidRDefault="003548F1" w:rsidP="003548F1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eDRX cycle =20.48s</w:t>
      </w:r>
    </w:p>
    <w:p w14:paraId="2C6E20AD" w14:textId="7D77410B" w:rsidR="003548F1" w:rsidRDefault="003548F1" w:rsidP="003548F1">
      <w:pPr>
        <w:jc w:val="both"/>
      </w:pPr>
      <w:r w:rsidRPr="00232AF1">
        <w:t xml:space="preserve">In last meeting, </w:t>
      </w:r>
      <w:r w:rsidR="00D03A35">
        <w:t xml:space="preserve">one </w:t>
      </w:r>
      <w:r w:rsidRPr="00232AF1">
        <w:t>compan</w:t>
      </w:r>
      <w:r w:rsidR="00D03A35">
        <w:t>y</w:t>
      </w:r>
      <w:r w:rsidRPr="00232AF1">
        <w:t xml:space="preserve"> </w:t>
      </w:r>
      <w:r>
        <w:t>argue that eDRX=20.48s isn’t an effective configuration since there is no power saving gain compared with short eDRX, such as 2.56s.</w:t>
      </w:r>
      <w:r>
        <w:rPr>
          <w:lang w:val="en-US"/>
        </w:rPr>
        <w:t xml:space="preserve"> </w:t>
      </w:r>
      <w:r w:rsidR="00E9561B">
        <w:rPr>
          <w:lang w:val="en-US"/>
        </w:rPr>
        <w:t xml:space="preserve">However, </w:t>
      </w:r>
      <w:r w:rsidR="00490AFE">
        <w:rPr>
          <w:lang w:val="en-US"/>
        </w:rPr>
        <w:t xml:space="preserve">whether UE can have enough power saving gain for </w:t>
      </w:r>
      <w:r w:rsidR="00522F8F">
        <w:rPr>
          <w:lang w:val="en-US"/>
        </w:rPr>
        <w:t>such eDRX with</w:t>
      </w:r>
      <w:r w:rsidR="00490AFE">
        <w:rPr>
          <w:lang w:val="en-US"/>
        </w:rPr>
        <w:t xml:space="preserve"> sho</w:t>
      </w:r>
      <w:r w:rsidR="00522F8F">
        <w:rPr>
          <w:lang w:val="en-US"/>
        </w:rPr>
        <w:t>rt DRX cycle(0.32s) totally depends on how to define the measurement requirement</w:t>
      </w:r>
      <w:r w:rsidR="0075520C">
        <w:rPr>
          <w:lang w:val="en-US"/>
        </w:rPr>
        <w:t xml:space="preserve">. </w:t>
      </w:r>
      <w:r>
        <w:t xml:space="preserve">Furthermore, when RAN2 design all these eDRX configurations, it </w:t>
      </w:r>
      <w:r w:rsidRPr="006461F6">
        <w:t xml:space="preserve">is important that such values would make a difference with respect to UE power consumption, but it would be </w:t>
      </w:r>
      <w:r>
        <w:t xml:space="preserve">also </w:t>
      </w:r>
      <w:r w:rsidRPr="006461F6">
        <w:t xml:space="preserve">good to note that sometimes </w:t>
      </w:r>
      <w:r w:rsidR="005551F7">
        <w:t>similar</w:t>
      </w:r>
      <w:r w:rsidRPr="006461F6">
        <w:t xml:space="preserve"> </w:t>
      </w:r>
      <w:r>
        <w:t xml:space="preserve">power consumption </w:t>
      </w:r>
      <w:r w:rsidRPr="006461F6">
        <w:t>outcome can be achieved with a combination of different parameters.</w:t>
      </w:r>
      <w:r>
        <w:t xml:space="preserve"> Therefore, we don’t think there is any issue on current eDRX cycles design.</w:t>
      </w:r>
      <w:r w:rsidR="005551F7">
        <w:t xml:space="preserve"> </w:t>
      </w:r>
      <w:r w:rsidR="001B620B">
        <w:t xml:space="preserve">If some companies still have concern on some specific configuration on eDRX, it should further discuss to introduce additional sacling factor </w:t>
      </w:r>
      <w:r w:rsidR="00C15622">
        <w:t xml:space="preserve">to </w:t>
      </w:r>
      <w:r w:rsidR="0017368F">
        <w:t xml:space="preserve">reduce the power consumption </w:t>
      </w:r>
      <w:r w:rsidR="001B620B">
        <w:t>similar as M1, M2 in DRX mode other than</w:t>
      </w:r>
      <w:r w:rsidR="0017368F">
        <w:t xml:space="preserve"> precluding such configuration.</w:t>
      </w:r>
      <w:r w:rsidR="00C15622">
        <w:t xml:space="preserve"> </w:t>
      </w:r>
    </w:p>
    <w:p w14:paraId="17E86275" w14:textId="317FAB32" w:rsidR="003548F1" w:rsidRDefault="003548F1" w:rsidP="003548F1">
      <w:pPr>
        <w:jc w:val="both"/>
        <w:rPr>
          <w:b/>
          <w:bCs/>
          <w:i/>
          <w:iCs/>
        </w:rPr>
      </w:pPr>
      <w:bookmarkStart w:id="5" w:name="_Ref95247141"/>
      <w:r w:rsidRPr="002F55D4">
        <w:rPr>
          <w:b/>
          <w:bCs/>
          <w:i/>
          <w:iCs/>
        </w:rPr>
        <w:t xml:space="preserve">Proposal </w:t>
      </w:r>
      <w:r w:rsidRPr="002F55D4">
        <w:rPr>
          <w:b/>
          <w:bCs/>
          <w:i/>
          <w:iCs/>
        </w:rPr>
        <w:fldChar w:fldCharType="begin"/>
      </w:r>
      <w:r w:rsidRPr="002F55D4">
        <w:rPr>
          <w:b/>
          <w:bCs/>
          <w:i/>
          <w:iCs/>
        </w:rPr>
        <w:instrText xml:space="preserve"> SEQ Proposal \* ARABIC </w:instrText>
      </w:r>
      <w:r w:rsidRPr="002F55D4">
        <w:rPr>
          <w:b/>
          <w:bCs/>
          <w:i/>
          <w:iCs/>
        </w:rPr>
        <w:fldChar w:fldCharType="separate"/>
      </w:r>
      <w:r w:rsidR="00A23FEF">
        <w:rPr>
          <w:b/>
          <w:bCs/>
          <w:i/>
          <w:iCs/>
          <w:noProof/>
        </w:rPr>
        <w:t>1</w:t>
      </w:r>
      <w:r w:rsidRPr="002F55D4">
        <w:rPr>
          <w:b/>
          <w:bCs/>
          <w:i/>
          <w:iCs/>
        </w:rPr>
        <w:fldChar w:fldCharType="end"/>
      </w:r>
      <w:r w:rsidRPr="002F55D4">
        <w:rPr>
          <w:b/>
          <w:bCs/>
          <w:i/>
          <w:iCs/>
        </w:rPr>
        <w:t xml:space="preserve">: </w:t>
      </w:r>
      <w:r w:rsidR="00954C74">
        <w:rPr>
          <w:b/>
          <w:bCs/>
          <w:i/>
          <w:iCs/>
        </w:rPr>
        <w:t>A</w:t>
      </w:r>
      <w:r>
        <w:rPr>
          <w:b/>
          <w:bCs/>
          <w:i/>
          <w:iCs/>
        </w:rPr>
        <w:t>ll the eDRX configurations are valid</w:t>
      </w:r>
      <w:r w:rsidR="00954C74">
        <w:rPr>
          <w:b/>
          <w:bCs/>
          <w:i/>
          <w:iCs/>
        </w:rPr>
        <w:t xml:space="preserve"> for </w:t>
      </w:r>
      <w:r w:rsidR="00954C74" w:rsidRPr="002F55D4">
        <w:rPr>
          <w:b/>
          <w:bCs/>
          <w:i/>
          <w:iCs/>
        </w:rPr>
        <w:t>eDRX_IDLE cycles with PTW</w:t>
      </w:r>
      <w:r>
        <w:rPr>
          <w:b/>
          <w:bCs/>
          <w:i/>
          <w:iCs/>
        </w:rPr>
        <w:t>.</w:t>
      </w:r>
      <w:bookmarkEnd w:id="5"/>
    </w:p>
    <w:p w14:paraId="6BF51F2B" w14:textId="77777777" w:rsidR="003548F1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 w:rsidRPr="00472BA9">
        <w:t>eDRX design</w:t>
      </w:r>
      <w:r>
        <w:t xml:space="preserve"> in Inactive mode</w:t>
      </w:r>
    </w:p>
    <w:p w14:paraId="6FC5D8C7" w14:textId="4FA01C32" w:rsidR="001258D7" w:rsidRDefault="003548F1" w:rsidP="00250C7E">
      <w:pPr>
        <w:jc w:val="both"/>
        <w:rPr>
          <w:lang w:eastAsia="zh-CN"/>
        </w:rPr>
      </w:pPr>
      <w:r>
        <w:t xml:space="preserve">After the clear defining the general rules for eDRX design in Idle mode, </w:t>
      </w:r>
      <w:r w:rsidRPr="00DC5A5D">
        <w:rPr>
          <w:lang w:eastAsia="zh-CN"/>
        </w:rPr>
        <w:t>UE in inactive mode shall monitor both CN paging and RAN Paging.</w:t>
      </w:r>
      <w:r>
        <w:rPr>
          <w:lang w:eastAsia="zh-CN"/>
        </w:rPr>
        <w:t xml:space="preserve"> RAN2 has reached agreement on how to determine </w:t>
      </w:r>
      <w:r w:rsidR="00BC7667">
        <w:rPr>
          <w:lang w:eastAsia="zh-CN"/>
        </w:rPr>
        <w:t xml:space="preserve">paging cycle </w:t>
      </w:r>
      <w:r>
        <w:rPr>
          <w:lang w:eastAsia="zh-CN"/>
        </w:rPr>
        <w:t xml:space="preserve">T as follow. </w:t>
      </w:r>
    </w:p>
    <w:p w14:paraId="57A53D27" w14:textId="59779A8F" w:rsidR="001258D7" w:rsidRPr="00BA775F" w:rsidRDefault="001258D7" w:rsidP="001258D7">
      <w:pPr>
        <w:pStyle w:val="Caption"/>
        <w:jc w:val="center"/>
        <w:rPr>
          <w:i w:val="0"/>
          <w:iCs w:val="0"/>
          <w:color w:val="auto"/>
          <w:sz w:val="20"/>
          <w:szCs w:val="20"/>
          <w:lang w:eastAsia="zh-CN"/>
        </w:rPr>
      </w:pPr>
      <w:r w:rsidRPr="00BA775F">
        <w:rPr>
          <w:i w:val="0"/>
          <w:iCs w:val="0"/>
          <w:color w:val="auto"/>
          <w:sz w:val="20"/>
          <w:szCs w:val="20"/>
        </w:rPr>
        <w:t xml:space="preserve">Table </w:t>
      </w:r>
      <w:r w:rsidRPr="00BA775F">
        <w:rPr>
          <w:i w:val="0"/>
          <w:iCs w:val="0"/>
          <w:color w:val="auto"/>
          <w:sz w:val="20"/>
          <w:szCs w:val="20"/>
        </w:rPr>
        <w:fldChar w:fldCharType="begin"/>
      </w:r>
      <w:r w:rsidRPr="00BA775F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BA775F">
        <w:rPr>
          <w:i w:val="0"/>
          <w:iCs w:val="0"/>
          <w:color w:val="auto"/>
          <w:sz w:val="20"/>
          <w:szCs w:val="20"/>
        </w:rPr>
        <w:fldChar w:fldCharType="separate"/>
      </w:r>
      <w:r w:rsidR="00A23FEF">
        <w:rPr>
          <w:i w:val="0"/>
          <w:iCs w:val="0"/>
          <w:noProof/>
          <w:color w:val="auto"/>
          <w:sz w:val="20"/>
          <w:szCs w:val="20"/>
        </w:rPr>
        <w:t>1</w:t>
      </w:r>
      <w:r w:rsidRPr="00BA775F">
        <w:rPr>
          <w:i w:val="0"/>
          <w:iCs w:val="0"/>
          <w:color w:val="auto"/>
          <w:sz w:val="20"/>
          <w:szCs w:val="20"/>
        </w:rPr>
        <w:fldChar w:fldCharType="end"/>
      </w:r>
      <w:r w:rsidRPr="00BA775F">
        <w:rPr>
          <w:i w:val="0"/>
          <w:iCs w:val="0"/>
          <w:color w:val="auto"/>
          <w:sz w:val="20"/>
          <w:szCs w:val="20"/>
          <w:lang w:eastAsia="zh-CN"/>
        </w:rPr>
        <w:t>. Summary of RAN2 agreements on T determination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1355"/>
        <w:gridCol w:w="1701"/>
        <w:gridCol w:w="6095"/>
      </w:tblGrid>
      <w:tr w:rsidR="001258D7" w14:paraId="264DDD39" w14:textId="77777777" w:rsidTr="007B5AA1">
        <w:tc>
          <w:tcPr>
            <w:tcW w:w="1355" w:type="dxa"/>
          </w:tcPr>
          <w:p w14:paraId="7927EABD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 w:hint="eastAsia"/>
                <w:lang w:eastAsia="zh-CN"/>
              </w:rPr>
              <w:t>I</w:t>
            </w:r>
            <w:r>
              <w:rPr>
                <w:rFonts w:eastAsia="Yu Mincho" w:cs="Arial"/>
                <w:lang w:eastAsia="zh-CN"/>
              </w:rPr>
              <w:t>DLE eDRX</w:t>
            </w:r>
          </w:p>
        </w:tc>
        <w:tc>
          <w:tcPr>
            <w:tcW w:w="1701" w:type="dxa"/>
          </w:tcPr>
          <w:p w14:paraId="0B65523E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>Inactive eDRX</w:t>
            </w:r>
          </w:p>
        </w:tc>
        <w:tc>
          <w:tcPr>
            <w:tcW w:w="6095" w:type="dxa"/>
          </w:tcPr>
          <w:p w14:paraId="4910D87C" w14:textId="77777777" w:rsidR="001258D7" w:rsidRDefault="001258D7" w:rsidP="007B5AA1">
            <w:pPr>
              <w:jc w:val="center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>T</w:t>
            </w:r>
          </w:p>
        </w:tc>
      </w:tr>
      <w:tr w:rsidR="001258D7" w14:paraId="7CA69C6B" w14:textId="77777777" w:rsidTr="007B5AA1">
        <w:tc>
          <w:tcPr>
            <w:tcW w:w="1355" w:type="dxa"/>
            <w:vMerge w:val="restart"/>
          </w:tcPr>
          <w:p w14:paraId="142C94D3" w14:textId="77777777" w:rsidR="001258D7" w:rsidRDefault="001258D7" w:rsidP="007B5AA1">
            <w:pPr>
              <w:jc w:val="center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 w:hint="eastAsia"/>
                <w:lang w:eastAsia="zh-CN"/>
              </w:rPr>
              <w:t>&gt;</w:t>
            </w:r>
            <w:r>
              <w:rPr>
                <w:rFonts w:eastAsia="Yu Mincho" w:cs="Arial"/>
                <w:lang w:eastAsia="zh-CN"/>
              </w:rPr>
              <w:t>10.24</w:t>
            </w:r>
          </w:p>
        </w:tc>
        <w:tc>
          <w:tcPr>
            <w:tcW w:w="1701" w:type="dxa"/>
            <w:vMerge w:val="restart"/>
          </w:tcPr>
          <w:p w14:paraId="0D561036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>N/A</w:t>
            </w:r>
          </w:p>
        </w:tc>
        <w:tc>
          <w:tcPr>
            <w:tcW w:w="6095" w:type="dxa"/>
          </w:tcPr>
          <w:p w14:paraId="39B8ABE1" w14:textId="77777777" w:rsidR="001258D7" w:rsidRPr="00825200" w:rsidRDefault="001258D7" w:rsidP="007B5AA1">
            <w:pPr>
              <w:rPr>
                <w:rFonts w:eastAsia="Yu Mincho" w:cs="Arial"/>
                <w:lang w:eastAsia="zh-CN"/>
              </w:rPr>
            </w:pPr>
            <w:r w:rsidRPr="00825200">
              <w:rPr>
                <w:rFonts w:eastAsia="Yu Mincho" w:cs="Arial"/>
                <w:lang w:eastAsia="zh-CN"/>
              </w:rPr>
              <w:t xml:space="preserve">Within PTW: </w:t>
            </w:r>
            <w:r w:rsidRPr="00825200">
              <w:t>Min{UE specific DRX cycle(if configured</w:t>
            </w:r>
            <w:r>
              <w:t xml:space="preserve"> by upper layer</w:t>
            </w:r>
            <w:r w:rsidRPr="00825200">
              <w:t xml:space="preserve">), RAN paging cycle, default paging cycle} </w:t>
            </w:r>
          </w:p>
        </w:tc>
      </w:tr>
      <w:tr w:rsidR="001258D7" w14:paraId="293A1F29" w14:textId="77777777" w:rsidTr="007B5AA1">
        <w:tc>
          <w:tcPr>
            <w:tcW w:w="1355" w:type="dxa"/>
            <w:vMerge/>
          </w:tcPr>
          <w:p w14:paraId="1ECBB23A" w14:textId="77777777" w:rsidR="001258D7" w:rsidRDefault="001258D7" w:rsidP="007B5AA1">
            <w:pPr>
              <w:rPr>
                <w:rFonts w:eastAsia="Yu Mincho" w:cs="Arial"/>
              </w:rPr>
            </w:pPr>
          </w:p>
        </w:tc>
        <w:tc>
          <w:tcPr>
            <w:tcW w:w="1701" w:type="dxa"/>
            <w:vMerge/>
          </w:tcPr>
          <w:p w14:paraId="07813091" w14:textId="77777777" w:rsidR="001258D7" w:rsidRPr="00E80041" w:rsidRDefault="001258D7" w:rsidP="007B5AA1">
            <w:pPr>
              <w:rPr>
                <w:rFonts w:eastAsia="Yu Mincho" w:cs="Arial"/>
              </w:rPr>
            </w:pPr>
          </w:p>
        </w:tc>
        <w:tc>
          <w:tcPr>
            <w:tcW w:w="6095" w:type="dxa"/>
          </w:tcPr>
          <w:p w14:paraId="0230E7D2" w14:textId="77777777" w:rsidR="001258D7" w:rsidRPr="00825200" w:rsidRDefault="001258D7" w:rsidP="007B5AA1">
            <w:pPr>
              <w:rPr>
                <w:rFonts w:eastAsia="Yu Mincho" w:cs="Arial"/>
                <w:lang w:eastAsia="zh-CN"/>
              </w:rPr>
            </w:pPr>
            <w:r w:rsidRPr="00825200">
              <w:rPr>
                <w:rFonts w:eastAsia="Yu Mincho" w:cs="Arial"/>
                <w:lang w:eastAsia="zh-CN"/>
              </w:rPr>
              <w:t>Outside PTW:</w:t>
            </w:r>
            <w:r>
              <w:rPr>
                <w:rFonts w:eastAsiaTheme="minorEastAsia" w:cs="Arial" w:hint="eastAsia"/>
                <w:lang w:eastAsia="zh-CN"/>
              </w:rPr>
              <w:t xml:space="preserve"> </w:t>
            </w:r>
            <w:r w:rsidRPr="00CE3ACC">
              <w:t>RAN paging cycle</w:t>
            </w:r>
          </w:p>
        </w:tc>
      </w:tr>
      <w:tr w:rsidR="001258D7" w14:paraId="6738F679" w14:textId="77777777" w:rsidTr="007B5AA1">
        <w:tc>
          <w:tcPr>
            <w:tcW w:w="1355" w:type="dxa"/>
            <w:vMerge/>
          </w:tcPr>
          <w:p w14:paraId="35CA2065" w14:textId="77777777" w:rsidR="001258D7" w:rsidRDefault="001258D7" w:rsidP="007B5AA1">
            <w:pPr>
              <w:rPr>
                <w:rFonts w:eastAsia="Yu Mincho" w:cs="Arial"/>
              </w:rPr>
            </w:pPr>
          </w:p>
        </w:tc>
        <w:tc>
          <w:tcPr>
            <w:tcW w:w="1701" w:type="dxa"/>
            <w:vMerge w:val="restart"/>
          </w:tcPr>
          <w:p w14:paraId="26498B86" w14:textId="77777777" w:rsidR="001258D7" w:rsidRPr="00E80041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>&lt;=10.24</w:t>
            </w:r>
          </w:p>
        </w:tc>
        <w:tc>
          <w:tcPr>
            <w:tcW w:w="6095" w:type="dxa"/>
          </w:tcPr>
          <w:p w14:paraId="6E7A5C6F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>Within PTW:</w:t>
            </w:r>
            <w:r>
              <w:t xml:space="preserve"> min{UE specific DRX cycle (if configured </w:t>
            </w:r>
            <w:r w:rsidRPr="00157DA2">
              <w:t>by upper layer</w:t>
            </w:r>
            <w:r>
              <w:t>) , INACTIVE eDRX cycle and default paging cycle}.</w:t>
            </w:r>
          </w:p>
        </w:tc>
      </w:tr>
      <w:tr w:rsidR="001258D7" w14:paraId="4E0C0EDF" w14:textId="77777777" w:rsidTr="007B5AA1">
        <w:tc>
          <w:tcPr>
            <w:tcW w:w="1355" w:type="dxa"/>
            <w:vMerge/>
          </w:tcPr>
          <w:p w14:paraId="0F546C62" w14:textId="77777777" w:rsidR="001258D7" w:rsidRDefault="001258D7" w:rsidP="007B5AA1">
            <w:pPr>
              <w:rPr>
                <w:rFonts w:eastAsia="Yu Mincho" w:cs="Arial"/>
              </w:rPr>
            </w:pPr>
          </w:p>
        </w:tc>
        <w:tc>
          <w:tcPr>
            <w:tcW w:w="1701" w:type="dxa"/>
            <w:vMerge/>
          </w:tcPr>
          <w:p w14:paraId="34CE98B6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</w:p>
        </w:tc>
        <w:tc>
          <w:tcPr>
            <w:tcW w:w="6095" w:type="dxa"/>
          </w:tcPr>
          <w:p w14:paraId="74C53EED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 xml:space="preserve">Outside PTW: </w:t>
            </w:r>
            <w:r>
              <w:t>INACTIVE eDRX cycle</w:t>
            </w:r>
          </w:p>
        </w:tc>
      </w:tr>
      <w:tr w:rsidR="001258D7" w14:paraId="6CC10424" w14:textId="77777777" w:rsidTr="007B5AA1">
        <w:tc>
          <w:tcPr>
            <w:tcW w:w="1355" w:type="dxa"/>
            <w:vMerge w:val="restart"/>
          </w:tcPr>
          <w:p w14:paraId="3FA355C2" w14:textId="77777777" w:rsidR="001258D7" w:rsidRDefault="001258D7" w:rsidP="007B5AA1">
            <w:pPr>
              <w:rPr>
                <w:rFonts w:eastAsia="Yu Mincho" w:cs="Arial"/>
              </w:rPr>
            </w:pPr>
            <w:r>
              <w:rPr>
                <w:rFonts w:eastAsia="Yu Mincho" w:cs="Arial" w:hint="eastAsia"/>
                <w:lang w:eastAsia="zh-CN"/>
              </w:rPr>
              <w:t>&lt;</w:t>
            </w:r>
            <w:r>
              <w:rPr>
                <w:rFonts w:eastAsia="Yu Mincho" w:cs="Arial"/>
                <w:lang w:eastAsia="zh-CN"/>
              </w:rPr>
              <w:t>=10.24</w:t>
            </w:r>
          </w:p>
        </w:tc>
        <w:tc>
          <w:tcPr>
            <w:tcW w:w="1701" w:type="dxa"/>
          </w:tcPr>
          <w:p w14:paraId="781DB7A9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 w:rsidRPr="00CE3ACC">
              <w:rPr>
                <w:rFonts w:eastAsia="Yu Mincho" w:cs="Arial" w:hint="eastAsia"/>
                <w:lang w:eastAsia="zh-CN"/>
              </w:rPr>
              <w:t>N</w:t>
            </w:r>
            <w:r w:rsidRPr="00CE3ACC">
              <w:rPr>
                <w:rFonts w:eastAsia="Yu Mincho" w:cs="Arial"/>
                <w:lang w:eastAsia="zh-CN"/>
              </w:rPr>
              <w:t>/A</w:t>
            </w:r>
          </w:p>
        </w:tc>
        <w:tc>
          <w:tcPr>
            <w:tcW w:w="6095" w:type="dxa"/>
          </w:tcPr>
          <w:p w14:paraId="271BB37A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 w:rsidRPr="00CE3ACC">
              <w:rPr>
                <w:rFonts w:eastAsia="Yu Mincho" w:cs="Arial"/>
              </w:rPr>
              <w:t>min{RAN paging cycle, IDLE eDRX cycle}</w:t>
            </w:r>
          </w:p>
        </w:tc>
      </w:tr>
      <w:tr w:rsidR="001258D7" w14:paraId="68D6CFE2" w14:textId="77777777" w:rsidTr="007B5AA1">
        <w:tc>
          <w:tcPr>
            <w:tcW w:w="1355" w:type="dxa"/>
            <w:vMerge/>
          </w:tcPr>
          <w:p w14:paraId="43C8DB74" w14:textId="77777777" w:rsidR="001258D7" w:rsidRDefault="001258D7" w:rsidP="007B5AA1">
            <w:pPr>
              <w:rPr>
                <w:rFonts w:eastAsia="Yu Mincho" w:cs="Arial"/>
              </w:rPr>
            </w:pPr>
          </w:p>
        </w:tc>
        <w:tc>
          <w:tcPr>
            <w:tcW w:w="1701" w:type="dxa"/>
          </w:tcPr>
          <w:p w14:paraId="0B97CD15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eastAsia="zh-CN"/>
              </w:rPr>
              <w:t>&lt;=10.24</w:t>
            </w:r>
          </w:p>
        </w:tc>
        <w:tc>
          <w:tcPr>
            <w:tcW w:w="6095" w:type="dxa"/>
          </w:tcPr>
          <w:p w14:paraId="59A34D3C" w14:textId="77777777" w:rsidR="001258D7" w:rsidRDefault="001258D7" w:rsidP="007B5AA1">
            <w:pPr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</w:rPr>
              <w:t>min{IDLE eDRX cycle, INACTIVE eDRX cycle}</w:t>
            </w:r>
          </w:p>
        </w:tc>
      </w:tr>
    </w:tbl>
    <w:p w14:paraId="4C668FEB" w14:textId="4093BF41" w:rsidR="001258D7" w:rsidRDefault="001258D7" w:rsidP="00250C7E">
      <w:pPr>
        <w:jc w:val="both"/>
        <w:rPr>
          <w:lang w:eastAsia="zh-CN"/>
        </w:rPr>
      </w:pPr>
    </w:p>
    <w:p w14:paraId="7F1CF08F" w14:textId="15E7B9EB" w:rsidR="001258D7" w:rsidRDefault="001258D7" w:rsidP="00250C7E">
      <w:pPr>
        <w:jc w:val="both"/>
        <w:rPr>
          <w:lang w:eastAsia="zh-CN"/>
        </w:rPr>
      </w:pPr>
      <w:r>
        <w:rPr>
          <w:lang w:eastAsia="zh-CN"/>
        </w:rPr>
        <w:t>In last meeting, the remaining issues on Inactive mode requirement is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58D7" w14:paraId="12DC8224" w14:textId="77777777" w:rsidTr="001258D7">
        <w:tc>
          <w:tcPr>
            <w:tcW w:w="9629" w:type="dxa"/>
          </w:tcPr>
          <w:p w14:paraId="21F90FF1" w14:textId="77777777" w:rsidR="0033318D" w:rsidRPr="0033318D" w:rsidRDefault="0033318D" w:rsidP="0033318D">
            <w:pPr>
              <w:rPr>
                <w:rFonts w:eastAsia="Times New Roman"/>
                <w:lang w:eastAsia="zh-CN"/>
              </w:rPr>
            </w:pPr>
            <w:r w:rsidRPr="0033318D">
              <w:rPr>
                <w:rFonts w:eastAsia="Times New Roman"/>
                <w:b/>
                <w:bCs/>
                <w:u w:val="single"/>
                <w:lang w:eastAsia="zh-CN"/>
              </w:rPr>
              <w:t>Issue 1-4-1: Inactive state requirements when idle eDRX is longer than 10.24s</w:t>
            </w:r>
          </w:p>
          <w:p w14:paraId="6AE5497E" w14:textId="7DA90F26" w:rsidR="0033318D" w:rsidRPr="0033318D" w:rsidRDefault="0033318D" w:rsidP="0033318D">
            <w:pPr>
              <w:numPr>
                <w:ilvl w:val="0"/>
                <w:numId w:val="4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3318D">
              <w:rPr>
                <w:rFonts w:eastAsia="Times New Roman"/>
                <w:lang w:eastAsia="zh-CN"/>
              </w:rPr>
              <w:lastRenderedPageBreak/>
              <w:t xml:space="preserve">Option 1: The inactive UE requirements are based on inactive DRX or inactive eDRX when inactive eDRX is configured </w:t>
            </w:r>
          </w:p>
          <w:p w14:paraId="794168C5" w14:textId="458E42E4" w:rsidR="0033318D" w:rsidRPr="0033318D" w:rsidRDefault="0033318D" w:rsidP="0033318D">
            <w:pPr>
              <w:numPr>
                <w:ilvl w:val="0"/>
                <w:numId w:val="4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3318D">
              <w:rPr>
                <w:rFonts w:eastAsia="Times New Roman"/>
                <w:lang w:eastAsia="zh-CN"/>
              </w:rPr>
              <w:t xml:space="preserve">Option 2: Based on the paging monitoring cycle of T agreed in RAN2 </w:t>
            </w:r>
          </w:p>
          <w:p w14:paraId="0D773910" w14:textId="77777777" w:rsidR="0033318D" w:rsidRPr="0033318D" w:rsidRDefault="0033318D" w:rsidP="0033318D">
            <w:pPr>
              <w:rPr>
                <w:rFonts w:eastAsia="Times New Roman"/>
                <w:lang w:eastAsia="zh-CN"/>
              </w:rPr>
            </w:pPr>
            <w:r w:rsidRPr="0033318D">
              <w:rPr>
                <w:rFonts w:eastAsia="Times New Roman"/>
                <w:b/>
                <w:bCs/>
                <w:u w:val="single"/>
                <w:lang w:eastAsia="zh-CN"/>
              </w:rPr>
              <w:t>Issue 1-4-2: Inactive state requirements when idle eDRX is no longer than 10.24s</w:t>
            </w:r>
          </w:p>
          <w:p w14:paraId="31D4C2FA" w14:textId="21DD6591" w:rsidR="0033318D" w:rsidRPr="0033318D" w:rsidRDefault="0033318D" w:rsidP="0033318D">
            <w:pPr>
              <w:numPr>
                <w:ilvl w:val="0"/>
                <w:numId w:val="4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3318D">
              <w:rPr>
                <w:rFonts w:eastAsia="Times New Roman"/>
                <w:lang w:eastAsia="zh-CN"/>
              </w:rPr>
              <w:t xml:space="preserve">Option 1: The inactive UE requirements are based on inactive eDRX or inactive DRX when inactive eDRX is not configured </w:t>
            </w:r>
          </w:p>
          <w:p w14:paraId="0D8A6F4D" w14:textId="54CEF016" w:rsidR="001258D7" w:rsidRDefault="0033318D" w:rsidP="0033318D">
            <w:pPr>
              <w:numPr>
                <w:ilvl w:val="0"/>
                <w:numId w:val="49"/>
              </w:numPr>
              <w:spacing w:after="120"/>
              <w:textAlignment w:val="center"/>
              <w:rPr>
                <w:lang w:eastAsia="zh-CN"/>
              </w:rPr>
            </w:pPr>
            <w:r w:rsidRPr="0033318D">
              <w:rPr>
                <w:rFonts w:eastAsia="Times New Roman"/>
                <w:lang w:eastAsia="zh-CN"/>
              </w:rPr>
              <w:t xml:space="preserve">Option 2: Based on the paging monitoring cycle of T agreed in RAN2 </w:t>
            </w:r>
          </w:p>
        </w:tc>
      </w:tr>
    </w:tbl>
    <w:p w14:paraId="75D427DC" w14:textId="77777777" w:rsidR="001258D7" w:rsidRDefault="001258D7" w:rsidP="00250C7E">
      <w:pPr>
        <w:jc w:val="both"/>
        <w:rPr>
          <w:lang w:eastAsia="zh-CN"/>
        </w:rPr>
      </w:pPr>
    </w:p>
    <w:p w14:paraId="35B99954" w14:textId="3AF76139" w:rsidR="003548F1" w:rsidRDefault="00250C7E" w:rsidP="00250C7E">
      <w:pPr>
        <w:jc w:val="both"/>
        <w:rPr>
          <w:rFonts w:eastAsia="Yu Mincho" w:cs="Arial"/>
        </w:rPr>
      </w:pPr>
      <w:r>
        <w:rPr>
          <w:lang w:eastAsia="zh-CN"/>
        </w:rPr>
        <w:t xml:space="preserve">From our understanding, </w:t>
      </w:r>
      <w:r w:rsidR="00A94A16">
        <w:rPr>
          <w:lang w:eastAsia="zh-CN"/>
        </w:rPr>
        <w:t xml:space="preserve">before monitoring paging, </w:t>
      </w:r>
      <w:r>
        <w:rPr>
          <w:lang w:eastAsia="zh-CN"/>
        </w:rPr>
        <w:t xml:space="preserve">UE </w:t>
      </w:r>
      <w:r w:rsidR="00A94A16">
        <w:rPr>
          <w:lang w:eastAsia="zh-CN"/>
        </w:rPr>
        <w:t xml:space="preserve">needs to additionally </w:t>
      </w:r>
      <w:r>
        <w:rPr>
          <w:lang w:eastAsia="zh-CN"/>
        </w:rPr>
        <w:t>wake up to retune AGC</w:t>
      </w:r>
      <w:r w:rsidR="00A94A16">
        <w:rPr>
          <w:lang w:eastAsia="zh-CN"/>
        </w:rPr>
        <w:t>.</w:t>
      </w:r>
      <w:r>
        <w:rPr>
          <w:lang w:eastAsia="zh-CN"/>
        </w:rPr>
        <w:t xml:space="preserve"> UE can perform intra-frequency measurements at the same time. </w:t>
      </w:r>
      <w:r w:rsidR="003548F1">
        <w:rPr>
          <w:lang w:eastAsia="zh-CN"/>
        </w:rPr>
        <w:t xml:space="preserve">Therefore, it’s reasonable to define </w:t>
      </w:r>
      <w:r w:rsidR="00954C74">
        <w:rPr>
          <w:lang w:eastAsia="zh-CN"/>
        </w:rPr>
        <w:t xml:space="preserve">the </w:t>
      </w:r>
      <w:r w:rsidR="00F93710">
        <w:rPr>
          <w:lang w:eastAsia="zh-CN"/>
        </w:rPr>
        <w:t>serving cell evaluation</w:t>
      </w:r>
      <w:r w:rsidR="00954C74">
        <w:rPr>
          <w:lang w:eastAsia="zh-CN"/>
        </w:rPr>
        <w:t xml:space="preserve"> </w:t>
      </w:r>
      <w:r w:rsidR="003548F1">
        <w:rPr>
          <w:lang w:eastAsia="zh-CN"/>
        </w:rPr>
        <w:t xml:space="preserve">requirement based on the agreed paging cycle in </w:t>
      </w:r>
      <w:r w:rsidR="00954C74">
        <w:rPr>
          <w:lang w:eastAsia="zh-CN"/>
        </w:rPr>
        <w:t>INACTIVE mode</w:t>
      </w:r>
      <w:r w:rsidR="003548F1">
        <w:rPr>
          <w:lang w:eastAsia="zh-CN"/>
        </w:rPr>
        <w:t>.</w:t>
      </w:r>
      <w:r w:rsidR="00F93710">
        <w:rPr>
          <w:lang w:eastAsia="zh-CN"/>
        </w:rPr>
        <w:t xml:space="preserve"> However, as mentioned by some companies, </w:t>
      </w:r>
      <w:r w:rsidR="00A839AE">
        <w:t xml:space="preserve">it is no need </w:t>
      </w:r>
      <w:r w:rsidR="00A94A16">
        <w:t>to mandate</w:t>
      </w:r>
      <w:r w:rsidR="00A839AE">
        <w:t xml:space="preserve"> UE to perform measurement on each paging occasion. </w:t>
      </w:r>
      <w:r w:rsidR="00A839AE">
        <w:rPr>
          <w:rFonts w:eastAsia="Yu Mincho" w:cs="Arial"/>
        </w:rPr>
        <w:t xml:space="preserve">UE can perform measurement only based on </w:t>
      </w:r>
      <w:r w:rsidR="00374CB1">
        <w:rPr>
          <w:rFonts w:eastAsia="Yu Mincho" w:cs="Arial"/>
        </w:rPr>
        <w:t>configured INACTIVE</w:t>
      </w:r>
      <w:r w:rsidR="00A839AE">
        <w:rPr>
          <w:rFonts w:eastAsia="Yu Mincho" w:cs="Arial"/>
        </w:rPr>
        <w:t xml:space="preserve"> eDRX/DRX cycle.</w:t>
      </w:r>
      <w:r w:rsidR="001258D7">
        <w:rPr>
          <w:rFonts w:eastAsia="Yu Mincho" w:cs="Arial"/>
        </w:rPr>
        <w:t xml:space="preserve"> From our understanding, this is a </w:t>
      </w:r>
      <w:r w:rsidR="00374CB1">
        <w:rPr>
          <w:rFonts w:eastAsia="Yu Mincho" w:cs="Arial"/>
        </w:rPr>
        <w:t xml:space="preserve">good </w:t>
      </w:r>
      <w:r w:rsidR="001258D7">
        <w:rPr>
          <w:rFonts w:eastAsia="Yu Mincho" w:cs="Arial"/>
        </w:rPr>
        <w:t>compromise solution between two proposals</w:t>
      </w:r>
      <w:r w:rsidR="00374CB1">
        <w:rPr>
          <w:rFonts w:eastAsia="Yu Mincho" w:cs="Arial"/>
        </w:rPr>
        <w:t xml:space="preserve"> above</w:t>
      </w:r>
      <w:r w:rsidR="001258D7">
        <w:rPr>
          <w:rFonts w:eastAsia="Yu Mincho" w:cs="Arial"/>
        </w:rPr>
        <w:t>.</w:t>
      </w:r>
    </w:p>
    <w:p w14:paraId="1C944D39" w14:textId="76247E63" w:rsidR="003245CE" w:rsidRPr="00261304" w:rsidRDefault="007F5204" w:rsidP="007F5204">
      <w:pPr>
        <w:jc w:val="both"/>
        <w:rPr>
          <w:b/>
          <w:bCs/>
          <w:i/>
          <w:iCs/>
        </w:rPr>
      </w:pPr>
      <w:bookmarkStart w:id="6" w:name="_Ref101540672"/>
      <w:r w:rsidRPr="00261304">
        <w:rPr>
          <w:b/>
          <w:bCs/>
          <w:i/>
          <w:iCs/>
        </w:rPr>
        <w:t xml:space="preserve">Proposal </w:t>
      </w:r>
      <w:r w:rsidRPr="00261304">
        <w:rPr>
          <w:b/>
          <w:bCs/>
          <w:i/>
          <w:iCs/>
        </w:rPr>
        <w:fldChar w:fldCharType="begin"/>
      </w:r>
      <w:r w:rsidRPr="00261304">
        <w:rPr>
          <w:b/>
          <w:bCs/>
          <w:i/>
          <w:iCs/>
        </w:rPr>
        <w:instrText xml:space="preserve"> SEQ Proposal \* ARABIC </w:instrText>
      </w:r>
      <w:r w:rsidRPr="00261304">
        <w:rPr>
          <w:b/>
          <w:bCs/>
          <w:i/>
          <w:iCs/>
        </w:rPr>
        <w:fldChar w:fldCharType="separate"/>
      </w:r>
      <w:r w:rsidRPr="00261304">
        <w:rPr>
          <w:b/>
          <w:bCs/>
          <w:i/>
          <w:iCs/>
          <w:noProof/>
        </w:rPr>
        <w:t>2</w:t>
      </w:r>
      <w:r w:rsidRPr="00261304">
        <w:rPr>
          <w:b/>
          <w:bCs/>
          <w:i/>
          <w:iCs/>
        </w:rPr>
        <w:fldChar w:fldCharType="end"/>
      </w:r>
      <w:r w:rsidRPr="00261304">
        <w:rPr>
          <w:b/>
          <w:bCs/>
          <w:i/>
          <w:iCs/>
        </w:rPr>
        <w:t xml:space="preserve">: </w:t>
      </w:r>
      <w:r w:rsidR="00DE4105" w:rsidRPr="00261304">
        <w:rPr>
          <w:b/>
          <w:bCs/>
          <w:i/>
          <w:iCs/>
        </w:rPr>
        <w:t>As a compromise solution, RAN4 to define serving cell evaluation requirement base</w:t>
      </w:r>
      <w:r w:rsidR="003245CE" w:rsidRPr="00261304">
        <w:rPr>
          <w:b/>
          <w:bCs/>
          <w:i/>
          <w:iCs/>
        </w:rPr>
        <w:t>d on eDRX cycle length = MIN(T</w:t>
      </w:r>
      <w:r w:rsidR="003245CE" w:rsidRPr="00261304">
        <w:rPr>
          <w:b/>
          <w:bCs/>
          <w:i/>
          <w:iCs/>
          <w:vertAlign w:val="subscript"/>
        </w:rPr>
        <w:t>eDRX-RAN</w:t>
      </w:r>
      <w:r w:rsidR="003245CE" w:rsidRPr="00261304">
        <w:rPr>
          <w:b/>
          <w:bCs/>
          <w:i/>
          <w:iCs/>
        </w:rPr>
        <w:t>, T</w:t>
      </w:r>
      <w:r w:rsidR="003245CE" w:rsidRPr="00261304">
        <w:rPr>
          <w:b/>
          <w:bCs/>
          <w:i/>
          <w:iCs/>
          <w:vertAlign w:val="subscript"/>
        </w:rPr>
        <w:t>eDRX-CN</w:t>
      </w:r>
      <w:r w:rsidR="003245CE" w:rsidRPr="00261304">
        <w:rPr>
          <w:b/>
          <w:bCs/>
          <w:i/>
          <w:iCs/>
        </w:rPr>
        <w:t>)</w:t>
      </w:r>
      <w:r w:rsidR="00412D9E" w:rsidRPr="00261304">
        <w:rPr>
          <w:b/>
          <w:bCs/>
          <w:i/>
          <w:iCs/>
        </w:rPr>
        <w:t>, where T</w:t>
      </w:r>
      <w:r w:rsidR="00412D9E" w:rsidRPr="00261304">
        <w:rPr>
          <w:b/>
          <w:bCs/>
          <w:i/>
          <w:iCs/>
          <w:vertAlign w:val="subscript"/>
        </w:rPr>
        <w:t xml:space="preserve">eDRX-RAN </w:t>
      </w:r>
      <w:r w:rsidR="00412D9E" w:rsidRPr="00261304">
        <w:rPr>
          <w:b/>
          <w:bCs/>
          <w:i/>
          <w:iCs/>
        </w:rPr>
        <w:t>is the eDRX cycle configured by the gNB and T</w:t>
      </w:r>
      <w:r w:rsidR="00412D9E" w:rsidRPr="00261304">
        <w:rPr>
          <w:b/>
          <w:bCs/>
          <w:i/>
          <w:iCs/>
          <w:vertAlign w:val="subscript"/>
        </w:rPr>
        <w:t xml:space="preserve">eDRX-CN </w:t>
      </w:r>
      <w:r w:rsidR="00412D9E" w:rsidRPr="00261304">
        <w:rPr>
          <w:b/>
          <w:bCs/>
          <w:i/>
          <w:iCs/>
        </w:rPr>
        <w:t xml:space="preserve"> is the eDRX cycle configured by the core network</w:t>
      </w:r>
      <w:r w:rsidR="00BA1A73" w:rsidRPr="00261304">
        <w:rPr>
          <w:b/>
          <w:bCs/>
          <w:i/>
          <w:iCs/>
        </w:rPr>
        <w:t xml:space="preserve"> (AMF)</w:t>
      </w:r>
      <w:r w:rsidR="00412D9E" w:rsidRPr="00261304">
        <w:rPr>
          <w:b/>
          <w:bCs/>
          <w:i/>
          <w:iCs/>
        </w:rPr>
        <w:t>.</w:t>
      </w:r>
      <w:bookmarkEnd w:id="6"/>
      <w:r w:rsidR="00412D9E" w:rsidRPr="00261304">
        <w:rPr>
          <w:b/>
          <w:bCs/>
          <w:i/>
          <w:iCs/>
        </w:rPr>
        <w:t xml:space="preserve"> </w:t>
      </w:r>
    </w:p>
    <w:p w14:paraId="135573F2" w14:textId="76E4CB5B" w:rsidR="00297F36" w:rsidRPr="00261304" w:rsidRDefault="007F5204" w:rsidP="00297F36">
      <w:pPr>
        <w:spacing w:before="120"/>
        <w:jc w:val="both"/>
        <w:rPr>
          <w:b/>
          <w:bCs/>
          <w:i/>
          <w:iCs/>
        </w:rPr>
      </w:pPr>
      <w:bookmarkStart w:id="7" w:name="_Ref101540684"/>
      <w:r w:rsidRPr="00261304">
        <w:rPr>
          <w:b/>
          <w:bCs/>
          <w:i/>
          <w:iCs/>
        </w:rPr>
        <w:t xml:space="preserve">Proposal </w:t>
      </w:r>
      <w:r w:rsidRPr="00261304">
        <w:rPr>
          <w:b/>
          <w:bCs/>
          <w:i/>
          <w:iCs/>
        </w:rPr>
        <w:fldChar w:fldCharType="begin"/>
      </w:r>
      <w:r w:rsidRPr="00261304">
        <w:rPr>
          <w:b/>
          <w:bCs/>
          <w:i/>
          <w:iCs/>
        </w:rPr>
        <w:instrText xml:space="preserve"> SEQ Proposal \* ARABIC </w:instrText>
      </w:r>
      <w:r w:rsidRPr="00261304">
        <w:rPr>
          <w:b/>
          <w:bCs/>
          <w:i/>
          <w:iCs/>
        </w:rPr>
        <w:fldChar w:fldCharType="separate"/>
      </w:r>
      <w:r w:rsidR="00261304" w:rsidRPr="00261304">
        <w:rPr>
          <w:b/>
          <w:bCs/>
          <w:i/>
          <w:iCs/>
          <w:noProof/>
        </w:rPr>
        <w:t>3</w:t>
      </w:r>
      <w:r w:rsidRPr="00261304">
        <w:rPr>
          <w:b/>
          <w:bCs/>
          <w:i/>
          <w:iCs/>
        </w:rPr>
        <w:fldChar w:fldCharType="end"/>
      </w:r>
      <w:r w:rsidRPr="00261304">
        <w:rPr>
          <w:b/>
          <w:bCs/>
          <w:i/>
          <w:iCs/>
        </w:rPr>
        <w:t>:</w:t>
      </w:r>
      <w:r w:rsidR="00297F36" w:rsidRPr="00261304">
        <w:rPr>
          <w:b/>
          <w:bCs/>
          <w:i/>
          <w:iCs/>
        </w:rPr>
        <w:t xml:space="preserve"> As a compromise solution, RAN4 to define the neighbour cell </w:t>
      </w:r>
      <w:r w:rsidR="00BA1A73" w:rsidRPr="00261304">
        <w:rPr>
          <w:b/>
          <w:bCs/>
          <w:i/>
          <w:iCs/>
        </w:rPr>
        <w:t xml:space="preserve">(intra-frequency, inter-frequency and inter-RAT) measurement </w:t>
      </w:r>
      <w:r w:rsidR="00297F36" w:rsidRPr="00261304">
        <w:rPr>
          <w:b/>
          <w:bCs/>
          <w:i/>
          <w:iCs/>
        </w:rPr>
        <w:t>requirements based on</w:t>
      </w:r>
      <w:r w:rsidR="00B24E64" w:rsidRPr="00261304">
        <w:rPr>
          <w:b/>
          <w:bCs/>
          <w:i/>
          <w:iCs/>
        </w:rPr>
        <w:t>ly on</w:t>
      </w:r>
      <w:r w:rsidR="00297F36" w:rsidRPr="00261304">
        <w:rPr>
          <w:b/>
          <w:bCs/>
          <w:i/>
          <w:iCs/>
        </w:rPr>
        <w:t xml:space="preserve"> the eDRX cycle configured for UE </w:t>
      </w:r>
      <w:r w:rsidR="00763B66" w:rsidRPr="00261304">
        <w:rPr>
          <w:b/>
          <w:bCs/>
          <w:i/>
          <w:iCs/>
        </w:rPr>
        <w:t xml:space="preserve">for </w:t>
      </w:r>
      <w:r w:rsidR="00297F36" w:rsidRPr="00261304">
        <w:rPr>
          <w:b/>
          <w:bCs/>
          <w:i/>
          <w:iCs/>
        </w:rPr>
        <w:t>INACTIVE mode (T</w:t>
      </w:r>
      <w:r w:rsidR="00297F36" w:rsidRPr="00261304">
        <w:rPr>
          <w:b/>
          <w:bCs/>
          <w:i/>
          <w:iCs/>
          <w:vertAlign w:val="subscript"/>
        </w:rPr>
        <w:t>eDRX-RAN</w:t>
      </w:r>
      <w:r w:rsidR="00297F36" w:rsidRPr="00261304">
        <w:rPr>
          <w:b/>
          <w:bCs/>
          <w:i/>
          <w:iCs/>
        </w:rPr>
        <w:t>)</w:t>
      </w:r>
      <w:r w:rsidR="00B24E64" w:rsidRPr="00261304">
        <w:rPr>
          <w:b/>
          <w:bCs/>
          <w:i/>
          <w:iCs/>
        </w:rPr>
        <w:t>.</w:t>
      </w:r>
      <w:bookmarkEnd w:id="7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77777777" w:rsidR="003548F1" w:rsidRPr="006D5644" w:rsidRDefault="003548F1" w:rsidP="003548F1">
      <w:pPr>
        <w:jc w:val="both"/>
        <w:rPr>
          <w:lang w:val="en-US"/>
        </w:rPr>
      </w:pPr>
      <w:bookmarkStart w:id="8" w:name="_Hlk23953093"/>
      <w:r w:rsidRPr="006D5644">
        <w:rPr>
          <w:lang w:val="en-US"/>
        </w:rPr>
        <w:t>In this contribution, we have discussed the eDRX requirements based on the agreements and open issues from last meeting. Based on the discussions, we have made following proposals and observation:</w:t>
      </w:r>
    </w:p>
    <w:p w14:paraId="202774B5" w14:textId="3C1AC135" w:rsidR="003548F1" w:rsidRDefault="003548F1" w:rsidP="003548F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REF _Ref95247141 \h 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="00A23FEF" w:rsidRPr="002F55D4">
        <w:rPr>
          <w:b/>
          <w:bCs/>
          <w:i/>
          <w:iCs/>
        </w:rPr>
        <w:t xml:space="preserve">Proposal </w:t>
      </w:r>
      <w:r w:rsidR="00A23FEF">
        <w:rPr>
          <w:b/>
          <w:bCs/>
          <w:i/>
          <w:iCs/>
          <w:noProof/>
        </w:rPr>
        <w:t>1</w:t>
      </w:r>
      <w:r w:rsidR="00A23FEF" w:rsidRPr="002F55D4">
        <w:rPr>
          <w:b/>
          <w:bCs/>
          <w:i/>
          <w:iCs/>
        </w:rPr>
        <w:t xml:space="preserve">: </w:t>
      </w:r>
      <w:r w:rsidR="00A23FEF">
        <w:rPr>
          <w:b/>
          <w:bCs/>
          <w:i/>
          <w:iCs/>
        </w:rPr>
        <w:t xml:space="preserve">All the eDRX configurations are valid for </w:t>
      </w:r>
      <w:r w:rsidR="00A23FEF" w:rsidRPr="002F55D4">
        <w:rPr>
          <w:b/>
          <w:bCs/>
          <w:i/>
          <w:iCs/>
        </w:rPr>
        <w:t>eDRX_IDLE cycles with PTW</w:t>
      </w:r>
      <w:r w:rsidR="00A23FEF">
        <w:rPr>
          <w:b/>
          <w:bCs/>
          <w:i/>
          <w:iCs/>
        </w:rPr>
        <w:t>.</w:t>
      </w:r>
      <w:r>
        <w:rPr>
          <w:b/>
          <w:bCs/>
          <w:i/>
          <w:iCs/>
        </w:rPr>
        <w:fldChar w:fldCharType="end"/>
      </w:r>
    </w:p>
    <w:p w14:paraId="6972EB2A" w14:textId="5CDF840D" w:rsidR="00E629D7" w:rsidRDefault="00026CC0" w:rsidP="003548F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REF _Ref101540672 \h 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Pr="00261304">
        <w:rPr>
          <w:b/>
          <w:bCs/>
          <w:i/>
          <w:iCs/>
        </w:rPr>
        <w:t xml:space="preserve">Proposal </w:t>
      </w:r>
      <w:r w:rsidRPr="00261304">
        <w:rPr>
          <w:b/>
          <w:bCs/>
          <w:i/>
          <w:iCs/>
          <w:noProof/>
        </w:rPr>
        <w:t>2</w:t>
      </w:r>
      <w:r w:rsidRPr="00261304">
        <w:rPr>
          <w:b/>
          <w:bCs/>
          <w:i/>
          <w:iCs/>
        </w:rPr>
        <w:t>: As a compromise solution, RAN4 to define serving cell evaluation requirement based on eDRX cycle length = MIN(T</w:t>
      </w:r>
      <w:r w:rsidRPr="00261304">
        <w:rPr>
          <w:b/>
          <w:bCs/>
          <w:i/>
          <w:iCs/>
          <w:vertAlign w:val="subscript"/>
        </w:rPr>
        <w:t>eDRX-RAN</w:t>
      </w:r>
      <w:r w:rsidRPr="00261304">
        <w:rPr>
          <w:b/>
          <w:bCs/>
          <w:i/>
          <w:iCs/>
        </w:rPr>
        <w:t>, T</w:t>
      </w:r>
      <w:r w:rsidRPr="00261304">
        <w:rPr>
          <w:b/>
          <w:bCs/>
          <w:i/>
          <w:iCs/>
          <w:vertAlign w:val="subscript"/>
        </w:rPr>
        <w:t>eDRX-CN</w:t>
      </w:r>
      <w:r w:rsidRPr="00261304">
        <w:rPr>
          <w:b/>
          <w:bCs/>
          <w:i/>
          <w:iCs/>
        </w:rPr>
        <w:t>), where T</w:t>
      </w:r>
      <w:r w:rsidRPr="00261304">
        <w:rPr>
          <w:b/>
          <w:bCs/>
          <w:i/>
          <w:iCs/>
          <w:vertAlign w:val="subscript"/>
        </w:rPr>
        <w:t xml:space="preserve">eDRX-RAN </w:t>
      </w:r>
      <w:r w:rsidRPr="00261304">
        <w:rPr>
          <w:b/>
          <w:bCs/>
          <w:i/>
          <w:iCs/>
        </w:rPr>
        <w:t>is the eDRX cycle configured by the gNB and T</w:t>
      </w:r>
      <w:r w:rsidRPr="00261304">
        <w:rPr>
          <w:b/>
          <w:bCs/>
          <w:i/>
          <w:iCs/>
          <w:vertAlign w:val="subscript"/>
        </w:rPr>
        <w:t xml:space="preserve">eDRX-CN </w:t>
      </w:r>
      <w:r w:rsidRPr="00261304">
        <w:rPr>
          <w:b/>
          <w:bCs/>
          <w:i/>
          <w:iCs/>
        </w:rPr>
        <w:t xml:space="preserve"> is the eDRX cycle configured by the core network (AMF).</w:t>
      </w:r>
      <w:r>
        <w:rPr>
          <w:b/>
          <w:bCs/>
          <w:i/>
          <w:iCs/>
        </w:rPr>
        <w:fldChar w:fldCharType="end"/>
      </w:r>
    </w:p>
    <w:p w14:paraId="05D9E043" w14:textId="70474B2A" w:rsidR="00026CC0" w:rsidRDefault="00026CC0" w:rsidP="003548F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REF _Ref101540684 \h 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Pr="00261304">
        <w:rPr>
          <w:b/>
          <w:bCs/>
          <w:i/>
          <w:iCs/>
        </w:rPr>
        <w:t xml:space="preserve">Proposal </w:t>
      </w:r>
      <w:r w:rsidRPr="00261304">
        <w:rPr>
          <w:b/>
          <w:bCs/>
          <w:i/>
          <w:iCs/>
          <w:noProof/>
        </w:rPr>
        <w:t>3</w:t>
      </w:r>
      <w:r w:rsidRPr="00261304">
        <w:rPr>
          <w:b/>
          <w:bCs/>
          <w:i/>
          <w:iCs/>
        </w:rPr>
        <w:t>: As a compromise solution, RAN4 to define the neighbour cell (intra-frequency, inter-frequency and inter-RAT) measurement requirements based only on the eDRX cycle configured for UE for INACTIVE mode (T</w:t>
      </w:r>
      <w:r w:rsidRPr="00261304">
        <w:rPr>
          <w:b/>
          <w:bCs/>
          <w:i/>
          <w:iCs/>
          <w:vertAlign w:val="subscript"/>
        </w:rPr>
        <w:t>eDRX-RAN</w:t>
      </w:r>
      <w:r w:rsidRPr="00261304">
        <w:rPr>
          <w:b/>
          <w:bCs/>
          <w:i/>
          <w:iCs/>
        </w:rPr>
        <w:t>).</w:t>
      </w:r>
      <w:r>
        <w:rPr>
          <w:b/>
          <w:bCs/>
          <w:i/>
          <w:iCs/>
        </w:rPr>
        <w:fldChar w:fldCharType="end"/>
      </w:r>
    </w:p>
    <w:bookmarkEnd w:id="8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11834879" w14:textId="6A90FFFE" w:rsidR="003548F1" w:rsidRPr="007C1D68" w:rsidRDefault="00263C07" w:rsidP="003548F1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</w:rPr>
      </w:pPr>
      <w:hyperlink r:id="rId11" w:history="1">
        <w:r w:rsidR="003548F1" w:rsidRPr="007C1D68">
          <w:rPr>
            <w:rFonts w:ascii="Times New Roman" w:hAnsi="Times New Roman"/>
            <w:sz w:val="20"/>
            <w:szCs w:val="18"/>
          </w:rPr>
          <w:t>R4-2</w:t>
        </w:r>
        <w:r w:rsidR="00954C74">
          <w:rPr>
            <w:rFonts w:ascii="Times New Roman" w:hAnsi="Times New Roman"/>
            <w:sz w:val="20"/>
            <w:szCs w:val="18"/>
          </w:rPr>
          <w:t>207105</w:t>
        </w:r>
      </w:hyperlink>
      <w:r w:rsidR="003548F1" w:rsidRPr="007C1D68">
        <w:rPr>
          <w:rFonts w:ascii="Times New Roman" w:hAnsi="Times New Roman"/>
          <w:sz w:val="20"/>
        </w:rPr>
        <w:t>, “</w:t>
      </w:r>
      <w:r w:rsidR="003548F1" w:rsidRPr="007C1D68">
        <w:rPr>
          <w:rFonts w:ascii="Times New Roman" w:hAnsi="Times New Roman"/>
          <w:color w:val="000000"/>
          <w:sz w:val="20"/>
          <w:szCs w:val="18"/>
          <w:lang w:eastAsia="zh-CN"/>
        </w:rPr>
        <w:t>WF on eDRX and RRM measurement relaxations requirements for Redcap UE</w:t>
      </w:r>
      <w:r w:rsidR="003548F1" w:rsidRPr="007C1D68">
        <w:rPr>
          <w:rFonts w:ascii="Times New Roman" w:hAnsi="Times New Roman"/>
          <w:sz w:val="20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E2F43" w14:textId="77777777" w:rsidR="00043F3F" w:rsidRDefault="00043F3F">
      <w:r>
        <w:separator/>
      </w:r>
    </w:p>
  </w:endnote>
  <w:endnote w:type="continuationSeparator" w:id="0">
    <w:p w14:paraId="206D1938" w14:textId="77777777" w:rsidR="00043F3F" w:rsidRDefault="00043F3F">
      <w:r>
        <w:continuationSeparator/>
      </w:r>
    </w:p>
  </w:endnote>
  <w:endnote w:type="continuationNotice" w:id="1">
    <w:p w14:paraId="3BCA810C" w14:textId="77777777" w:rsidR="00043F3F" w:rsidRDefault="00043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3D74D" w14:textId="77777777" w:rsidR="00043F3F" w:rsidRDefault="00043F3F">
      <w:r>
        <w:separator/>
      </w:r>
    </w:p>
  </w:footnote>
  <w:footnote w:type="continuationSeparator" w:id="0">
    <w:p w14:paraId="39E33F8F" w14:textId="77777777" w:rsidR="00043F3F" w:rsidRDefault="00043F3F">
      <w:r>
        <w:continuationSeparator/>
      </w:r>
    </w:p>
  </w:footnote>
  <w:footnote w:type="continuationNotice" w:id="1">
    <w:p w14:paraId="444F7921" w14:textId="77777777" w:rsidR="00043F3F" w:rsidRDefault="00043F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B70"/>
    <w:multiLevelType w:val="hybridMultilevel"/>
    <w:tmpl w:val="DB40E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711AA"/>
    <w:multiLevelType w:val="hybridMultilevel"/>
    <w:tmpl w:val="7924FC9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631FF3"/>
    <w:multiLevelType w:val="hybridMultilevel"/>
    <w:tmpl w:val="CE1231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5661A1"/>
    <w:multiLevelType w:val="hybridMultilevel"/>
    <w:tmpl w:val="26E46886"/>
    <w:lvl w:ilvl="0" w:tplc="1BC01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29A0"/>
    <w:multiLevelType w:val="hybridMultilevel"/>
    <w:tmpl w:val="B3843BF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39EB3DF9"/>
    <w:multiLevelType w:val="hybridMultilevel"/>
    <w:tmpl w:val="64441B1C"/>
    <w:lvl w:ilvl="0" w:tplc="88967D2E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A3E33"/>
    <w:multiLevelType w:val="hybridMultilevel"/>
    <w:tmpl w:val="0A18836E"/>
    <w:lvl w:ilvl="0" w:tplc="CEE84C2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73D8"/>
    <w:multiLevelType w:val="hybridMultilevel"/>
    <w:tmpl w:val="9CF850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C44FB"/>
    <w:multiLevelType w:val="hybridMultilevel"/>
    <w:tmpl w:val="0C0448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C52C62"/>
    <w:multiLevelType w:val="hybridMultilevel"/>
    <w:tmpl w:val="86AE414C"/>
    <w:lvl w:ilvl="0" w:tplc="84845E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367E65"/>
    <w:multiLevelType w:val="multilevel"/>
    <w:tmpl w:val="7226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6A643F"/>
    <w:multiLevelType w:val="hybridMultilevel"/>
    <w:tmpl w:val="F01E78FE"/>
    <w:lvl w:ilvl="0" w:tplc="52063B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418BB"/>
    <w:multiLevelType w:val="hybridMultilevel"/>
    <w:tmpl w:val="36D2955E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8" w15:restartNumberingAfterBreak="0">
    <w:nsid w:val="4DDB1A81"/>
    <w:multiLevelType w:val="hybridMultilevel"/>
    <w:tmpl w:val="E332AE0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D94E34"/>
    <w:multiLevelType w:val="hybridMultilevel"/>
    <w:tmpl w:val="0409000F"/>
    <w:lvl w:ilvl="0" w:tplc="3A32E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EE4C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EC80D94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68CCBB7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C06DCBE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11D22B9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A02C4A1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7741A28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B6E4D094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1AE4EF6"/>
    <w:multiLevelType w:val="hybridMultilevel"/>
    <w:tmpl w:val="8DCE8F9A"/>
    <w:lvl w:ilvl="0" w:tplc="BEB80D5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724FB3"/>
    <w:multiLevelType w:val="hybridMultilevel"/>
    <w:tmpl w:val="AC60623A"/>
    <w:lvl w:ilvl="0" w:tplc="14DEFF10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65CC1787"/>
    <w:multiLevelType w:val="hybridMultilevel"/>
    <w:tmpl w:val="292A77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9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EE0D7E"/>
    <w:multiLevelType w:val="hybridMultilevel"/>
    <w:tmpl w:val="BC6C3054"/>
    <w:lvl w:ilvl="0" w:tplc="5888CF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637BB"/>
    <w:multiLevelType w:val="multilevel"/>
    <w:tmpl w:val="9E0E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367E62"/>
    <w:multiLevelType w:val="hybridMultilevel"/>
    <w:tmpl w:val="A664D9F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C9A6F1D"/>
    <w:multiLevelType w:val="hybridMultilevel"/>
    <w:tmpl w:val="3BF6D03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6"/>
  </w:num>
  <w:num w:numId="3">
    <w:abstractNumId w:val="47"/>
  </w:num>
  <w:num w:numId="4">
    <w:abstractNumId w:val="1"/>
  </w:num>
  <w:num w:numId="5">
    <w:abstractNumId w:val="22"/>
  </w:num>
  <w:num w:numId="6">
    <w:abstractNumId w:val="46"/>
  </w:num>
  <w:num w:numId="7">
    <w:abstractNumId w:val="38"/>
  </w:num>
  <w:num w:numId="8">
    <w:abstractNumId w:val="35"/>
  </w:num>
  <w:num w:numId="9">
    <w:abstractNumId w:val="5"/>
  </w:num>
  <w:num w:numId="10">
    <w:abstractNumId w:val="16"/>
  </w:num>
  <w:num w:numId="11">
    <w:abstractNumId w:val="7"/>
  </w:num>
  <w:num w:numId="12">
    <w:abstractNumId w:val="10"/>
  </w:num>
  <w:num w:numId="13">
    <w:abstractNumId w:val="11"/>
  </w:num>
  <w:num w:numId="14">
    <w:abstractNumId w:val="4"/>
  </w:num>
  <w:num w:numId="15">
    <w:abstractNumId w:val="3"/>
  </w:num>
  <w:num w:numId="16">
    <w:abstractNumId w:val="36"/>
  </w:num>
  <w:num w:numId="17">
    <w:abstractNumId w:val="8"/>
  </w:num>
  <w:num w:numId="18">
    <w:abstractNumId w:val="45"/>
  </w:num>
  <w:num w:numId="19">
    <w:abstractNumId w:val="31"/>
  </w:num>
  <w:num w:numId="20">
    <w:abstractNumId w:val="27"/>
  </w:num>
  <w:num w:numId="21">
    <w:abstractNumId w:val="24"/>
  </w:num>
  <w:num w:numId="22">
    <w:abstractNumId w:val="32"/>
  </w:num>
  <w:num w:numId="23">
    <w:abstractNumId w:val="14"/>
  </w:num>
  <w:num w:numId="24">
    <w:abstractNumId w:val="15"/>
  </w:num>
  <w:num w:numId="25">
    <w:abstractNumId w:val="39"/>
  </w:num>
  <w:num w:numId="26">
    <w:abstractNumId w:val="28"/>
  </w:num>
  <w:num w:numId="27">
    <w:abstractNumId w:val="9"/>
  </w:num>
  <w:num w:numId="28">
    <w:abstractNumId w:val="30"/>
  </w:num>
  <w:num w:numId="29">
    <w:abstractNumId w:val="33"/>
  </w:num>
  <w:num w:numId="30">
    <w:abstractNumId w:val="2"/>
  </w:num>
  <w:num w:numId="31">
    <w:abstractNumId w:val="44"/>
  </w:num>
  <w:num w:numId="32">
    <w:abstractNumId w:val="26"/>
  </w:num>
  <w:num w:numId="33">
    <w:abstractNumId w:val="13"/>
  </w:num>
  <w:num w:numId="34">
    <w:abstractNumId w:val="37"/>
  </w:num>
  <w:num w:numId="35">
    <w:abstractNumId w:val="12"/>
  </w:num>
  <w:num w:numId="36">
    <w:abstractNumId w:val="18"/>
  </w:num>
  <w:num w:numId="37">
    <w:abstractNumId w:val="19"/>
  </w:num>
  <w:num w:numId="38">
    <w:abstractNumId w:val="40"/>
  </w:num>
  <w:num w:numId="39">
    <w:abstractNumId w:val="25"/>
  </w:num>
  <w:num w:numId="40">
    <w:abstractNumId w:val="21"/>
  </w:num>
  <w:num w:numId="41">
    <w:abstractNumId w:val="34"/>
  </w:num>
  <w:num w:numId="42">
    <w:abstractNumId w:val="26"/>
  </w:num>
  <w:num w:numId="43">
    <w:abstractNumId w:val="29"/>
  </w:num>
  <w:num w:numId="44">
    <w:abstractNumId w:val="17"/>
  </w:num>
  <w:num w:numId="45">
    <w:abstractNumId w:val="20"/>
  </w:num>
  <w:num w:numId="46">
    <w:abstractNumId w:val="42"/>
  </w:num>
  <w:num w:numId="47">
    <w:abstractNumId w:val="0"/>
  </w:num>
  <w:num w:numId="48">
    <w:abstractNumId w:val="23"/>
  </w:num>
  <w:num w:numId="49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5EC6"/>
    <w:rsid w:val="000069F1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971"/>
    <w:rsid w:val="00013D9A"/>
    <w:rsid w:val="00014FF6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6CC0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F5"/>
    <w:rsid w:val="00052FA7"/>
    <w:rsid w:val="00052FAD"/>
    <w:rsid w:val="0005410F"/>
    <w:rsid w:val="000543BC"/>
    <w:rsid w:val="00054512"/>
    <w:rsid w:val="0005475E"/>
    <w:rsid w:val="00055A47"/>
    <w:rsid w:val="00055E7A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E9E"/>
    <w:rsid w:val="0006529E"/>
    <w:rsid w:val="00066958"/>
    <w:rsid w:val="00067A21"/>
    <w:rsid w:val="000705E1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2D20"/>
    <w:rsid w:val="000A3B0C"/>
    <w:rsid w:val="000A40B8"/>
    <w:rsid w:val="000A4B84"/>
    <w:rsid w:val="000A4EAD"/>
    <w:rsid w:val="000A55A6"/>
    <w:rsid w:val="000A6096"/>
    <w:rsid w:val="000A60DD"/>
    <w:rsid w:val="000A6394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449"/>
    <w:rsid w:val="000B5831"/>
    <w:rsid w:val="000B58A1"/>
    <w:rsid w:val="000B5DBE"/>
    <w:rsid w:val="000B5E32"/>
    <w:rsid w:val="000C008B"/>
    <w:rsid w:val="000C038A"/>
    <w:rsid w:val="000C0DA1"/>
    <w:rsid w:val="000C1AF3"/>
    <w:rsid w:val="000C3557"/>
    <w:rsid w:val="000C4073"/>
    <w:rsid w:val="000C4870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1C4B"/>
    <w:rsid w:val="000E2319"/>
    <w:rsid w:val="000E257F"/>
    <w:rsid w:val="000E2999"/>
    <w:rsid w:val="000E3C50"/>
    <w:rsid w:val="000E3C71"/>
    <w:rsid w:val="000E4521"/>
    <w:rsid w:val="000E57FF"/>
    <w:rsid w:val="000E5B73"/>
    <w:rsid w:val="000E67A9"/>
    <w:rsid w:val="000F0AFD"/>
    <w:rsid w:val="000F169D"/>
    <w:rsid w:val="000F19ED"/>
    <w:rsid w:val="000F2647"/>
    <w:rsid w:val="000F2656"/>
    <w:rsid w:val="000F287F"/>
    <w:rsid w:val="000F2C56"/>
    <w:rsid w:val="000F2CA4"/>
    <w:rsid w:val="000F3E19"/>
    <w:rsid w:val="000F4598"/>
    <w:rsid w:val="000F4AD3"/>
    <w:rsid w:val="000F52D6"/>
    <w:rsid w:val="000F579A"/>
    <w:rsid w:val="000F5F52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48D"/>
    <w:rsid w:val="001056CA"/>
    <w:rsid w:val="00105AF9"/>
    <w:rsid w:val="00105E92"/>
    <w:rsid w:val="00106137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4D6A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358"/>
    <w:rsid w:val="00146573"/>
    <w:rsid w:val="001508B4"/>
    <w:rsid w:val="001517C7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E4"/>
    <w:rsid w:val="0016098F"/>
    <w:rsid w:val="00160F10"/>
    <w:rsid w:val="001610A7"/>
    <w:rsid w:val="001613DF"/>
    <w:rsid w:val="0016143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A49"/>
    <w:rsid w:val="00182AC6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93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F1"/>
    <w:rsid w:val="001A5616"/>
    <w:rsid w:val="001A67AF"/>
    <w:rsid w:val="001A6804"/>
    <w:rsid w:val="001A740D"/>
    <w:rsid w:val="001A7B60"/>
    <w:rsid w:val="001A7DD9"/>
    <w:rsid w:val="001B011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56C8"/>
    <w:rsid w:val="00235D6D"/>
    <w:rsid w:val="00236802"/>
    <w:rsid w:val="002376D0"/>
    <w:rsid w:val="002408AF"/>
    <w:rsid w:val="00240D54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50C7E"/>
    <w:rsid w:val="00251136"/>
    <w:rsid w:val="00251205"/>
    <w:rsid w:val="002523D3"/>
    <w:rsid w:val="00253682"/>
    <w:rsid w:val="00253998"/>
    <w:rsid w:val="00253DBC"/>
    <w:rsid w:val="00253E87"/>
    <w:rsid w:val="00253F83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04"/>
    <w:rsid w:val="00261347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AC4"/>
    <w:rsid w:val="002925F7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97F36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191A"/>
    <w:rsid w:val="002D231B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A33"/>
    <w:rsid w:val="002F1B68"/>
    <w:rsid w:val="002F228E"/>
    <w:rsid w:val="002F24CE"/>
    <w:rsid w:val="002F30BE"/>
    <w:rsid w:val="002F32B2"/>
    <w:rsid w:val="002F340F"/>
    <w:rsid w:val="002F404D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A0E"/>
    <w:rsid w:val="00321E67"/>
    <w:rsid w:val="00322697"/>
    <w:rsid w:val="003230F1"/>
    <w:rsid w:val="0032441B"/>
    <w:rsid w:val="003244D1"/>
    <w:rsid w:val="003245CE"/>
    <w:rsid w:val="00324CDB"/>
    <w:rsid w:val="00326021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1121"/>
    <w:rsid w:val="00341B75"/>
    <w:rsid w:val="00342210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F60"/>
    <w:rsid w:val="003663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73A"/>
    <w:rsid w:val="003A15D1"/>
    <w:rsid w:val="003A1C0C"/>
    <w:rsid w:val="003A1CE2"/>
    <w:rsid w:val="003A1D35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1138"/>
    <w:rsid w:val="003B27A7"/>
    <w:rsid w:val="003B2BCF"/>
    <w:rsid w:val="003B2EAD"/>
    <w:rsid w:val="003B3048"/>
    <w:rsid w:val="003B306E"/>
    <w:rsid w:val="003B360F"/>
    <w:rsid w:val="003B374F"/>
    <w:rsid w:val="003B3BF5"/>
    <w:rsid w:val="003B713D"/>
    <w:rsid w:val="003B7DFB"/>
    <w:rsid w:val="003C05C0"/>
    <w:rsid w:val="003C0B9E"/>
    <w:rsid w:val="003C17B4"/>
    <w:rsid w:val="003C1904"/>
    <w:rsid w:val="003C1B8E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75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3EF3"/>
    <w:rsid w:val="003E5ACF"/>
    <w:rsid w:val="003E5D3B"/>
    <w:rsid w:val="003E705F"/>
    <w:rsid w:val="003E7A13"/>
    <w:rsid w:val="003F06FD"/>
    <w:rsid w:val="003F0AD0"/>
    <w:rsid w:val="003F0BB2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971"/>
    <w:rsid w:val="004011D8"/>
    <w:rsid w:val="0040163E"/>
    <w:rsid w:val="00401A35"/>
    <w:rsid w:val="00402337"/>
    <w:rsid w:val="00402D68"/>
    <w:rsid w:val="00402E2E"/>
    <w:rsid w:val="004037E8"/>
    <w:rsid w:val="004040A8"/>
    <w:rsid w:val="004041C4"/>
    <w:rsid w:val="00404758"/>
    <w:rsid w:val="00407C85"/>
    <w:rsid w:val="004102D6"/>
    <w:rsid w:val="0041094B"/>
    <w:rsid w:val="004109D2"/>
    <w:rsid w:val="00410BE5"/>
    <w:rsid w:val="00410C28"/>
    <w:rsid w:val="00410D44"/>
    <w:rsid w:val="00411BE0"/>
    <w:rsid w:val="00411CE0"/>
    <w:rsid w:val="00411F19"/>
    <w:rsid w:val="00411FCD"/>
    <w:rsid w:val="004120C1"/>
    <w:rsid w:val="0041219E"/>
    <w:rsid w:val="00412D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CA"/>
    <w:rsid w:val="004242F1"/>
    <w:rsid w:val="0042487B"/>
    <w:rsid w:val="004253A7"/>
    <w:rsid w:val="00426A9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5024A"/>
    <w:rsid w:val="004509F6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62DD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DEE"/>
    <w:rsid w:val="00485FA8"/>
    <w:rsid w:val="0048681D"/>
    <w:rsid w:val="00486F13"/>
    <w:rsid w:val="0048714D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D0F63"/>
    <w:rsid w:val="004D0FE6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1473"/>
    <w:rsid w:val="00502095"/>
    <w:rsid w:val="005020BE"/>
    <w:rsid w:val="00503432"/>
    <w:rsid w:val="00503535"/>
    <w:rsid w:val="005039CC"/>
    <w:rsid w:val="00504CAE"/>
    <w:rsid w:val="00504F89"/>
    <w:rsid w:val="00504FEB"/>
    <w:rsid w:val="00505999"/>
    <w:rsid w:val="00506C4B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526A"/>
    <w:rsid w:val="00565333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0FA"/>
    <w:rsid w:val="005B5717"/>
    <w:rsid w:val="005B5FC2"/>
    <w:rsid w:val="005B70B1"/>
    <w:rsid w:val="005B7488"/>
    <w:rsid w:val="005B782B"/>
    <w:rsid w:val="005C031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5F76C6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0D3"/>
    <w:rsid w:val="0062265B"/>
    <w:rsid w:val="00622C04"/>
    <w:rsid w:val="00623F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EF3"/>
    <w:rsid w:val="006A1F9C"/>
    <w:rsid w:val="006A2808"/>
    <w:rsid w:val="006A2819"/>
    <w:rsid w:val="006A477D"/>
    <w:rsid w:val="006A6104"/>
    <w:rsid w:val="006A6A2F"/>
    <w:rsid w:val="006A6D08"/>
    <w:rsid w:val="006A790F"/>
    <w:rsid w:val="006B1456"/>
    <w:rsid w:val="006B30C2"/>
    <w:rsid w:val="006B31EC"/>
    <w:rsid w:val="006B33C3"/>
    <w:rsid w:val="006B386D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7F"/>
    <w:rsid w:val="0070628F"/>
    <w:rsid w:val="00706710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FE8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D14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34C8"/>
    <w:rsid w:val="00763B66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6328"/>
    <w:rsid w:val="00776E5F"/>
    <w:rsid w:val="00780437"/>
    <w:rsid w:val="007809CB"/>
    <w:rsid w:val="007817A5"/>
    <w:rsid w:val="00782036"/>
    <w:rsid w:val="00782254"/>
    <w:rsid w:val="007829D9"/>
    <w:rsid w:val="0078320C"/>
    <w:rsid w:val="00783DD5"/>
    <w:rsid w:val="00784537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342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612"/>
    <w:rsid w:val="007B2B4E"/>
    <w:rsid w:val="007B2D64"/>
    <w:rsid w:val="007B351E"/>
    <w:rsid w:val="007B460A"/>
    <w:rsid w:val="007B4E45"/>
    <w:rsid w:val="007B512A"/>
    <w:rsid w:val="007B540F"/>
    <w:rsid w:val="007B5CB6"/>
    <w:rsid w:val="007B61E5"/>
    <w:rsid w:val="007B6897"/>
    <w:rsid w:val="007B7655"/>
    <w:rsid w:val="007B7B20"/>
    <w:rsid w:val="007B7D0B"/>
    <w:rsid w:val="007B7E42"/>
    <w:rsid w:val="007B7EA1"/>
    <w:rsid w:val="007B7FC5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81"/>
    <w:rsid w:val="007D6A07"/>
    <w:rsid w:val="007D6B49"/>
    <w:rsid w:val="007D6ECF"/>
    <w:rsid w:val="007D720E"/>
    <w:rsid w:val="007D792B"/>
    <w:rsid w:val="007E04AD"/>
    <w:rsid w:val="007E07B8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5204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76CFA"/>
    <w:rsid w:val="0088211D"/>
    <w:rsid w:val="0088217E"/>
    <w:rsid w:val="008828BE"/>
    <w:rsid w:val="00882CB0"/>
    <w:rsid w:val="00882DBF"/>
    <w:rsid w:val="008832D6"/>
    <w:rsid w:val="00883843"/>
    <w:rsid w:val="0088392B"/>
    <w:rsid w:val="00883DD1"/>
    <w:rsid w:val="00884CD6"/>
    <w:rsid w:val="00884EFB"/>
    <w:rsid w:val="008853DC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2A1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3619"/>
    <w:rsid w:val="008C3943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F1F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296"/>
    <w:rsid w:val="009233C5"/>
    <w:rsid w:val="0092419C"/>
    <w:rsid w:val="0092453D"/>
    <w:rsid w:val="00924665"/>
    <w:rsid w:val="009246FF"/>
    <w:rsid w:val="009249FB"/>
    <w:rsid w:val="00924BC8"/>
    <w:rsid w:val="00925045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736D"/>
    <w:rsid w:val="00940C82"/>
    <w:rsid w:val="00940EA4"/>
    <w:rsid w:val="00941AE4"/>
    <w:rsid w:val="00941C8B"/>
    <w:rsid w:val="00942A89"/>
    <w:rsid w:val="009430FF"/>
    <w:rsid w:val="00943F8B"/>
    <w:rsid w:val="009454E0"/>
    <w:rsid w:val="00945589"/>
    <w:rsid w:val="00945761"/>
    <w:rsid w:val="00945BED"/>
    <w:rsid w:val="009460DD"/>
    <w:rsid w:val="00946149"/>
    <w:rsid w:val="00947336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A"/>
    <w:rsid w:val="009629B7"/>
    <w:rsid w:val="009629CA"/>
    <w:rsid w:val="00962E3B"/>
    <w:rsid w:val="009632ED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DD7"/>
    <w:rsid w:val="00992F9B"/>
    <w:rsid w:val="00993607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D95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3FC4"/>
    <w:rsid w:val="00A04AD5"/>
    <w:rsid w:val="00A04B0F"/>
    <w:rsid w:val="00A057BE"/>
    <w:rsid w:val="00A059D2"/>
    <w:rsid w:val="00A05DE9"/>
    <w:rsid w:val="00A0789F"/>
    <w:rsid w:val="00A07C3C"/>
    <w:rsid w:val="00A07CA2"/>
    <w:rsid w:val="00A10E7C"/>
    <w:rsid w:val="00A1138F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C3B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2F9"/>
    <w:rsid w:val="00A36590"/>
    <w:rsid w:val="00A36CB6"/>
    <w:rsid w:val="00A377FB"/>
    <w:rsid w:val="00A3788C"/>
    <w:rsid w:val="00A37999"/>
    <w:rsid w:val="00A40211"/>
    <w:rsid w:val="00A41F5E"/>
    <w:rsid w:val="00A42D9F"/>
    <w:rsid w:val="00A436DD"/>
    <w:rsid w:val="00A43C75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E70"/>
    <w:rsid w:val="00A50196"/>
    <w:rsid w:val="00A507A5"/>
    <w:rsid w:val="00A50B79"/>
    <w:rsid w:val="00A50F50"/>
    <w:rsid w:val="00A517C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103"/>
    <w:rsid w:val="00A5649D"/>
    <w:rsid w:val="00A565F2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22"/>
    <w:rsid w:val="00A64AAB"/>
    <w:rsid w:val="00A6502E"/>
    <w:rsid w:val="00A663C3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6E1F"/>
    <w:rsid w:val="00AA71B4"/>
    <w:rsid w:val="00AB024D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E63"/>
    <w:rsid w:val="00AE0FC4"/>
    <w:rsid w:val="00AE1011"/>
    <w:rsid w:val="00AE12EE"/>
    <w:rsid w:val="00AE16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71B"/>
    <w:rsid w:val="00B15C81"/>
    <w:rsid w:val="00B16498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4B2A"/>
    <w:rsid w:val="00B24E64"/>
    <w:rsid w:val="00B25162"/>
    <w:rsid w:val="00B253F1"/>
    <w:rsid w:val="00B2567C"/>
    <w:rsid w:val="00B258BB"/>
    <w:rsid w:val="00B26273"/>
    <w:rsid w:val="00B263F7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117E"/>
    <w:rsid w:val="00B41409"/>
    <w:rsid w:val="00B41A38"/>
    <w:rsid w:val="00B4222D"/>
    <w:rsid w:val="00B42320"/>
    <w:rsid w:val="00B42434"/>
    <w:rsid w:val="00B42B1E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AE4"/>
    <w:rsid w:val="00B6424D"/>
    <w:rsid w:val="00B66875"/>
    <w:rsid w:val="00B67222"/>
    <w:rsid w:val="00B67279"/>
    <w:rsid w:val="00B67380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450"/>
    <w:rsid w:val="00B90669"/>
    <w:rsid w:val="00B9066F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A73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7AF1"/>
    <w:rsid w:val="00C27F99"/>
    <w:rsid w:val="00C301A6"/>
    <w:rsid w:val="00C3040B"/>
    <w:rsid w:val="00C30BF4"/>
    <w:rsid w:val="00C3238A"/>
    <w:rsid w:val="00C3368E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464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F9F"/>
    <w:rsid w:val="00CA649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E42"/>
    <w:rsid w:val="00CB6E49"/>
    <w:rsid w:val="00CC0DB6"/>
    <w:rsid w:val="00CC11EC"/>
    <w:rsid w:val="00CC12A2"/>
    <w:rsid w:val="00CC1D95"/>
    <w:rsid w:val="00CC216E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871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2DC2"/>
    <w:rsid w:val="00CF35F6"/>
    <w:rsid w:val="00CF41DE"/>
    <w:rsid w:val="00CF4D0A"/>
    <w:rsid w:val="00CF7C00"/>
    <w:rsid w:val="00CF7DDB"/>
    <w:rsid w:val="00D0012B"/>
    <w:rsid w:val="00D0035E"/>
    <w:rsid w:val="00D01693"/>
    <w:rsid w:val="00D01E17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4CEA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62CD"/>
    <w:rsid w:val="00D86738"/>
    <w:rsid w:val="00D86A45"/>
    <w:rsid w:val="00D87331"/>
    <w:rsid w:val="00D876EA"/>
    <w:rsid w:val="00D9015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718D"/>
    <w:rsid w:val="00DA0FB8"/>
    <w:rsid w:val="00DA1F62"/>
    <w:rsid w:val="00DA2DB9"/>
    <w:rsid w:val="00DA310E"/>
    <w:rsid w:val="00DA3147"/>
    <w:rsid w:val="00DA3DD1"/>
    <w:rsid w:val="00DA40B8"/>
    <w:rsid w:val="00DA466E"/>
    <w:rsid w:val="00DA4D2E"/>
    <w:rsid w:val="00DA536B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0B29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105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4CB"/>
    <w:rsid w:val="00E557CB"/>
    <w:rsid w:val="00E56910"/>
    <w:rsid w:val="00E56989"/>
    <w:rsid w:val="00E56D73"/>
    <w:rsid w:val="00E5778F"/>
    <w:rsid w:val="00E577AB"/>
    <w:rsid w:val="00E577B1"/>
    <w:rsid w:val="00E57EC9"/>
    <w:rsid w:val="00E620DC"/>
    <w:rsid w:val="00E629D7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2FA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EFA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C34"/>
    <w:rsid w:val="00F5023A"/>
    <w:rsid w:val="00F5024A"/>
    <w:rsid w:val="00F507B4"/>
    <w:rsid w:val="00F51B6B"/>
    <w:rsid w:val="00F52204"/>
    <w:rsid w:val="00F5281B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3710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6E20"/>
    <w:rsid w:val="00F97C1F"/>
    <w:rsid w:val="00F97CFA"/>
    <w:rsid w:val="00F97E7E"/>
    <w:rsid w:val="00FA04B5"/>
    <w:rsid w:val="00FA0D51"/>
    <w:rsid w:val="00FA1170"/>
    <w:rsid w:val="00FA1A26"/>
    <w:rsid w:val="00FA1BDB"/>
    <w:rsid w:val="00FA1DB9"/>
    <w:rsid w:val="00FA208E"/>
    <w:rsid w:val="00FA21C8"/>
    <w:rsid w:val="00FA2C3F"/>
    <w:rsid w:val="00FA2C87"/>
    <w:rsid w:val="00FA2F3F"/>
    <w:rsid w:val="00FA38CA"/>
    <w:rsid w:val="00FA3D4A"/>
    <w:rsid w:val="00FA3DE3"/>
    <w:rsid w:val="00FA4B5F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85F"/>
    <w:rsid w:val="00FE1416"/>
    <w:rsid w:val="00FE1E14"/>
    <w:rsid w:val="00FE1F7C"/>
    <w:rsid w:val="00FE22F3"/>
    <w:rsid w:val="00FE275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4_Radio/TSGR4_100-e/Docs/R4-2115364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sharepoint/v3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9ED75BB-CAEE-4DC8-9F32-2CC0190C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515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159</cp:revision>
  <cp:lastPrinted>1900-01-01T08:00:00Z</cp:lastPrinted>
  <dcterms:created xsi:type="dcterms:W3CDTF">2022-01-10T22:12:00Z</dcterms:created>
  <dcterms:modified xsi:type="dcterms:W3CDTF">2022-04-25T14:12:00Z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